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813B" w14:textId="77777777" w:rsidR="00564117" w:rsidRDefault="00564117" w:rsidP="00564117">
      <w:pPr>
        <w:jc w:val="center"/>
      </w:pPr>
      <w:r>
        <w:object w:dxaOrig="1095" w:dyaOrig="1035" w14:anchorId="34429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72266258" r:id="rId5"/>
        </w:object>
      </w:r>
      <w:r>
        <w:br w:type="textWrapping" w:clear="all"/>
      </w:r>
    </w:p>
    <w:p w14:paraId="627F9E3B" w14:textId="77777777" w:rsidR="00564117" w:rsidRDefault="00564117" w:rsidP="00564117">
      <w:pPr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Кебанъёль»  </w:t>
      </w:r>
      <w:proofErr w:type="spellStart"/>
      <w:r>
        <w:rPr>
          <w:b/>
          <w:bCs/>
        </w:rPr>
        <w:t>сикт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овмöдчöминлöн</w:t>
      </w:r>
      <w:proofErr w:type="spellEnd"/>
      <w:r>
        <w:rPr>
          <w:b/>
          <w:sz w:val="20"/>
        </w:rPr>
        <w:t xml:space="preserve">  </w:t>
      </w:r>
      <w:r>
        <w:rPr>
          <w:b/>
        </w:rPr>
        <w:t>администрация</w:t>
      </w:r>
    </w:p>
    <w:p w14:paraId="54E6298E" w14:textId="77777777" w:rsidR="00564117" w:rsidRDefault="00564117" w:rsidP="00564117">
      <w:pPr>
        <w:jc w:val="center"/>
        <w:rPr>
          <w:b/>
          <w:bCs/>
        </w:rPr>
      </w:pPr>
      <w:r>
        <w:rPr>
          <w:b/>
          <w:bCs/>
          <w:u w:val="single"/>
        </w:rPr>
        <w:t>_____________________</w:t>
      </w:r>
      <w:r>
        <w:rPr>
          <w:u w:val="single"/>
        </w:rPr>
        <w:t xml:space="preserve">            </w:t>
      </w:r>
      <w:r>
        <w:rPr>
          <w:b/>
          <w:u w:val="single"/>
        </w:rPr>
        <w:t>ШУ</w:t>
      </w:r>
      <w:r>
        <w:rPr>
          <w:b/>
          <w:bCs/>
          <w:u w:val="single"/>
        </w:rPr>
        <w:t>ÖМ_</w:t>
      </w:r>
      <w:r>
        <w:rPr>
          <w:u w:val="single"/>
        </w:rPr>
        <w:t>_</w:t>
      </w:r>
      <w:r>
        <w:rPr>
          <w:b/>
          <w:bCs/>
          <w:u w:val="single"/>
        </w:rPr>
        <w:t>_ _______________________</w:t>
      </w:r>
      <w:r>
        <w:rPr>
          <w:b/>
          <w:bCs/>
        </w:rPr>
        <w:t xml:space="preserve">                                   Администрация</w:t>
      </w:r>
      <w:r>
        <w:rPr>
          <w:b/>
          <w:bCs/>
          <w:szCs w:val="28"/>
        </w:rPr>
        <w:t xml:space="preserve"> сельского поселения «Кебанъёль»</w:t>
      </w:r>
    </w:p>
    <w:p w14:paraId="1CD50A8C" w14:textId="77777777" w:rsidR="00564117" w:rsidRDefault="00564117" w:rsidP="00564117">
      <w:pPr>
        <w:jc w:val="center"/>
        <w:rPr>
          <w:b/>
          <w:bCs/>
        </w:rPr>
      </w:pPr>
    </w:p>
    <w:p w14:paraId="34026E28" w14:textId="77777777" w:rsidR="00564117" w:rsidRDefault="00564117" w:rsidP="0056411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C48D171" w14:textId="77777777" w:rsidR="00564117" w:rsidRDefault="00564117" w:rsidP="00564117">
      <w:pPr>
        <w:jc w:val="center"/>
        <w:rPr>
          <w:b/>
          <w:bCs/>
        </w:rPr>
      </w:pPr>
    </w:p>
    <w:p w14:paraId="7097BEE1" w14:textId="7E5D19AA" w:rsidR="00564117" w:rsidRDefault="004B58A0" w:rsidP="00564117">
      <w:pPr>
        <w:jc w:val="center"/>
      </w:pPr>
      <w:r>
        <w:t xml:space="preserve">18 марта </w:t>
      </w:r>
      <w:r w:rsidR="00564117">
        <w:t>2024 года                                                                                  №</w:t>
      </w:r>
      <w:r>
        <w:t xml:space="preserve"> 32</w:t>
      </w:r>
    </w:p>
    <w:p w14:paraId="0882ADFC" w14:textId="77777777" w:rsidR="00564117" w:rsidRDefault="00564117" w:rsidP="00564117">
      <w:pPr>
        <w:jc w:val="center"/>
      </w:pPr>
    </w:p>
    <w:p w14:paraId="185953EC" w14:textId="77777777" w:rsidR="00564117" w:rsidRDefault="00564117" w:rsidP="00564117">
      <w:pPr>
        <w:jc w:val="center"/>
        <w:rPr>
          <w:sz w:val="16"/>
        </w:rPr>
      </w:pPr>
      <w:proofErr w:type="spellStart"/>
      <w:r>
        <w:rPr>
          <w:sz w:val="16"/>
        </w:rPr>
        <w:t>п.Кебанъёль</w:t>
      </w:r>
      <w:proofErr w:type="spellEnd"/>
    </w:p>
    <w:p w14:paraId="35F54121" w14:textId="77777777" w:rsidR="00564117" w:rsidRDefault="00564117" w:rsidP="00564117">
      <w:pPr>
        <w:jc w:val="center"/>
        <w:outlineLvl w:val="0"/>
        <w:rPr>
          <w:sz w:val="16"/>
        </w:rPr>
      </w:pPr>
      <w:r>
        <w:rPr>
          <w:sz w:val="16"/>
        </w:rPr>
        <w:t>Усть-Куломский район</w:t>
      </w:r>
    </w:p>
    <w:p w14:paraId="1CD051E7" w14:textId="77777777" w:rsidR="00564117" w:rsidRDefault="00564117" w:rsidP="00564117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14:paraId="425A964D" w14:textId="6BCA0025" w:rsidR="00525A9A" w:rsidRPr="00A454E9" w:rsidRDefault="00525A9A" w:rsidP="00525A9A">
      <w:pPr>
        <w:spacing w:before="240" w:after="240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</w:rPr>
        <w:t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«Кебанъёль» и должностных лиц</w:t>
      </w:r>
    </w:p>
    <w:p w14:paraId="04000000" w14:textId="11F59A02" w:rsidR="0071078D" w:rsidRPr="00A454E9" w:rsidRDefault="00417688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В соответствии с </w:t>
      </w:r>
      <w:hyperlink r:id="rId6" w:anchor="/document/12164203/entry/6021" w:history="1">
        <w:r w:rsidRPr="00A454E9">
          <w:rPr>
            <w:rFonts w:ascii="Times New Roman" w:hAnsi="Times New Roman"/>
            <w:color w:val="3272C0"/>
            <w:szCs w:val="28"/>
            <w:highlight w:val="white"/>
          </w:rPr>
          <w:t>пунктом 2.1 статьи 6</w:t>
        </w:r>
      </w:hyperlink>
      <w:r w:rsidRPr="00A454E9">
        <w:rPr>
          <w:rFonts w:ascii="Times New Roman" w:hAnsi="Times New Roman"/>
          <w:color w:val="22272F"/>
          <w:szCs w:val="28"/>
          <w:highlight w:val="white"/>
        </w:rPr>
        <w:t> Федерального закона от 25.12.2008 N 273-ФЗ "О противодействии коррупции", пунктом 2-1 статьи 4(1) </w:t>
      </w:r>
      <w:hyperlink r:id="rId7" w:anchor="/document/27324720/entry/0" w:history="1">
        <w:r w:rsidRPr="00A454E9">
          <w:rPr>
            <w:rFonts w:ascii="Times New Roman" w:hAnsi="Times New Roman"/>
            <w:color w:val="3272C0"/>
            <w:szCs w:val="28"/>
            <w:highlight w:val="white"/>
          </w:rPr>
          <w:t>Закона</w:t>
        </w:r>
      </w:hyperlink>
      <w:r w:rsidRPr="00A454E9">
        <w:rPr>
          <w:rFonts w:ascii="Times New Roman" w:hAnsi="Times New Roman"/>
          <w:color w:val="22272F"/>
          <w:szCs w:val="28"/>
          <w:highlight w:val="white"/>
        </w:rPr>
        <w:t> Республики Коми от 29.09.2008 N 82-РЗ "О противодействии коррупции в Республике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 xml:space="preserve"> Коми</w:t>
      </w: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", Уставом 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A454E9">
        <w:rPr>
          <w:rFonts w:ascii="Times New Roman" w:hAnsi="Times New Roman"/>
          <w:color w:val="22272F"/>
          <w:szCs w:val="28"/>
          <w:highlight w:val="white"/>
        </w:rPr>
        <w:t>, администрация постановляет:</w:t>
      </w:r>
    </w:p>
    <w:p w14:paraId="05000000" w14:textId="1371E94F" w:rsidR="0071078D" w:rsidRDefault="00417688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1. </w:t>
      </w:r>
      <w:r w:rsidRPr="00A454E9">
        <w:rPr>
          <w:rStyle w:val="a8"/>
          <w:rFonts w:ascii="Times New Roman" w:hAnsi="Times New Roman"/>
          <w:i w:val="0"/>
          <w:color w:val="auto"/>
          <w:szCs w:val="28"/>
        </w:rPr>
        <w:t>Утвердить</w:t>
      </w:r>
      <w:r w:rsidRPr="00A454E9">
        <w:rPr>
          <w:rStyle w:val="a8"/>
          <w:rFonts w:ascii="Times New Roman" w:hAnsi="Times New Roman"/>
          <w:i w:val="0"/>
          <w:color w:val="auto"/>
          <w:szCs w:val="28"/>
          <w:highlight w:val="white"/>
        </w:rPr>
        <w:t> </w:t>
      </w:r>
      <w:r w:rsidRPr="00A454E9">
        <w:rPr>
          <w:rFonts w:ascii="Times New Roman" w:hAnsi="Times New Roman"/>
          <w:color w:val="22272F"/>
          <w:szCs w:val="28"/>
          <w:highlight w:val="white"/>
        </w:rPr>
        <w:t>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>администрации сельского поселения «Кебанъёль»</w:t>
      </w: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 и дол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>жностных лиц согласно приложения</w:t>
      </w: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 к настоящему постановлению.</w:t>
      </w:r>
    </w:p>
    <w:p w14:paraId="4DDAB5DC" w14:textId="3BF1F009" w:rsidR="00A12C48" w:rsidRPr="00A454E9" w:rsidRDefault="00A12C48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 xml:space="preserve">2. </w:t>
      </w:r>
      <w:r w:rsidRPr="0049771E">
        <w:rPr>
          <w:rFonts w:ascii="Times New Roman" w:hAnsi="Times New Roman"/>
          <w:szCs w:val="28"/>
        </w:rPr>
        <w:t>Признать утратившим с</w:t>
      </w:r>
      <w:r>
        <w:rPr>
          <w:rFonts w:ascii="Times New Roman" w:hAnsi="Times New Roman"/>
          <w:szCs w:val="28"/>
        </w:rPr>
        <w:t>илу постановление администрации</w:t>
      </w:r>
      <w:r w:rsidRPr="0049771E">
        <w:rPr>
          <w:rFonts w:ascii="Times New Roman" w:hAnsi="Times New Roman"/>
          <w:szCs w:val="28"/>
        </w:rPr>
        <w:t xml:space="preserve"> сельского поселения «Кеба</w:t>
      </w:r>
      <w:r>
        <w:rPr>
          <w:rFonts w:ascii="Times New Roman" w:hAnsi="Times New Roman"/>
          <w:szCs w:val="28"/>
        </w:rPr>
        <w:t>нъёль» от 20.05.2020 г. № 34 «Об утверждении Порядка рассмотрения вопросов правоприменительной практики в целях профилактики коррупции».</w:t>
      </w:r>
    </w:p>
    <w:p w14:paraId="06000000" w14:textId="4A3317DE" w:rsidR="0071078D" w:rsidRPr="00A454E9" w:rsidRDefault="00A12C48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>3</w:t>
      </w:r>
      <w:r w:rsidR="00417688" w:rsidRPr="00A454E9">
        <w:rPr>
          <w:rFonts w:ascii="Times New Roman" w:hAnsi="Times New Roman"/>
          <w:color w:val="22272F"/>
          <w:szCs w:val="28"/>
          <w:highlight w:val="white"/>
        </w:rPr>
        <w:t>. Настоящее постановление вступает в силу со дня его официального опубликования.</w:t>
      </w:r>
    </w:p>
    <w:p w14:paraId="07000000" w14:textId="79663FCF" w:rsidR="0071078D" w:rsidRPr="00A454E9" w:rsidRDefault="00A12C48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>4</w:t>
      </w:r>
      <w:r w:rsidR="00417688" w:rsidRPr="00A454E9">
        <w:rPr>
          <w:rFonts w:ascii="Times New Roman" w:hAnsi="Times New Roman"/>
          <w:color w:val="22272F"/>
          <w:szCs w:val="28"/>
          <w:highlight w:val="white"/>
        </w:rPr>
        <w:t>. Контроль за исполнением настоящего постановления оставляю за собой.</w:t>
      </w:r>
    </w:p>
    <w:p w14:paraId="74DE9501" w14:textId="77777777" w:rsidR="00A454E9" w:rsidRDefault="00A454E9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1A072BEB" w14:textId="77777777" w:rsidR="00A454E9" w:rsidRDefault="00A454E9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202CA739" w14:textId="77777777" w:rsidR="00A454E9" w:rsidRDefault="00A454E9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6C17E8CE" w14:textId="77777777" w:rsidR="00A454E9" w:rsidRDefault="00A454E9" w:rsidP="00A454E9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707ED736" w14:textId="5A147946" w:rsidR="00A454E9" w:rsidRDefault="00525A9A" w:rsidP="00A12C48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Глава сельского поселения «Кебанъёль»                                    А.И. Валуйских</w:t>
      </w:r>
    </w:p>
    <w:p w14:paraId="2A8E125C" w14:textId="77777777" w:rsidR="004B58A0" w:rsidRDefault="004B58A0" w:rsidP="00525A9A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0A000000" w14:textId="62F9F738" w:rsidR="0071078D" w:rsidRPr="00A454E9" w:rsidRDefault="00417688" w:rsidP="00525A9A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lastRenderedPageBreak/>
        <w:t>Приложение</w:t>
      </w:r>
    </w:p>
    <w:p w14:paraId="0B000000" w14:textId="77777777" w:rsidR="0071078D" w:rsidRPr="00A454E9" w:rsidRDefault="00417688" w:rsidP="00525A9A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к постановлению</w:t>
      </w:r>
    </w:p>
    <w:p w14:paraId="0C000000" w14:textId="66B8C05C" w:rsidR="0071078D" w:rsidRPr="00A454E9" w:rsidRDefault="00417688" w:rsidP="00525A9A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администрации 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>СП «Кебанъёль»</w:t>
      </w:r>
    </w:p>
    <w:p w14:paraId="0D000000" w14:textId="6D72AA3E" w:rsidR="0071078D" w:rsidRPr="00A454E9" w:rsidRDefault="00A454E9" w:rsidP="00525A9A">
      <w:pPr>
        <w:ind w:left="533" w:hanging="533"/>
        <w:jc w:val="right"/>
        <w:rPr>
          <w:rFonts w:ascii="Times New Roman" w:hAnsi="Times New Roman"/>
          <w:color w:val="22272F"/>
          <w:szCs w:val="28"/>
        </w:rPr>
      </w:pPr>
      <w:r>
        <w:rPr>
          <w:rFonts w:ascii="Times New Roman" w:hAnsi="Times New Roman"/>
          <w:color w:val="22272F"/>
          <w:szCs w:val="28"/>
        </w:rPr>
        <w:t xml:space="preserve">от </w:t>
      </w:r>
      <w:r w:rsidR="004B58A0">
        <w:rPr>
          <w:rFonts w:ascii="Times New Roman" w:hAnsi="Times New Roman"/>
          <w:color w:val="22272F"/>
          <w:szCs w:val="28"/>
        </w:rPr>
        <w:t>18.03.</w:t>
      </w:r>
      <w:r>
        <w:rPr>
          <w:rFonts w:ascii="Times New Roman" w:hAnsi="Times New Roman"/>
          <w:color w:val="22272F"/>
          <w:szCs w:val="28"/>
        </w:rPr>
        <w:t>2024</w:t>
      </w:r>
      <w:r w:rsidR="00417688" w:rsidRPr="00A454E9">
        <w:rPr>
          <w:rFonts w:ascii="Times New Roman" w:hAnsi="Times New Roman"/>
          <w:color w:val="22272F"/>
          <w:szCs w:val="28"/>
        </w:rPr>
        <w:t xml:space="preserve"> г. N </w:t>
      </w:r>
      <w:r w:rsidR="004B58A0">
        <w:rPr>
          <w:rFonts w:ascii="Times New Roman" w:hAnsi="Times New Roman"/>
          <w:color w:val="22272F"/>
          <w:szCs w:val="28"/>
        </w:rPr>
        <w:t>32</w:t>
      </w:r>
    </w:p>
    <w:p w14:paraId="692C7BF3" w14:textId="77777777" w:rsidR="00525A9A" w:rsidRPr="004B58A0" w:rsidRDefault="00525A9A">
      <w:pPr>
        <w:spacing w:before="349" w:after="349"/>
        <w:jc w:val="center"/>
        <w:rPr>
          <w:rFonts w:ascii="Times New Roman" w:hAnsi="Times New Roman"/>
          <w:bCs/>
          <w:color w:val="22272F"/>
          <w:szCs w:val="28"/>
        </w:rPr>
      </w:pPr>
      <w:r w:rsidRPr="004B58A0">
        <w:rPr>
          <w:rFonts w:ascii="Times New Roman" w:hAnsi="Times New Roman"/>
          <w:bCs/>
          <w:color w:val="22272F"/>
          <w:szCs w:val="28"/>
        </w:rPr>
        <w:t>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(бездействия)администрации сельского поселения «Кебанъёль» и должностных лиц</w:t>
      </w:r>
    </w:p>
    <w:p w14:paraId="0F000000" w14:textId="6A9C126F" w:rsidR="0071078D" w:rsidRPr="00A454E9" w:rsidRDefault="00417688">
      <w:pPr>
        <w:spacing w:before="349" w:after="349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1. Общие положения</w:t>
      </w:r>
    </w:p>
    <w:p w14:paraId="10000000" w14:textId="1F6D2A24" w:rsidR="0071078D" w:rsidRPr="00A454E9" w:rsidRDefault="00417688" w:rsidP="00525A9A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1.1. Настоящий </w:t>
      </w:r>
      <w:r w:rsidR="00525A9A" w:rsidRPr="00A454E9">
        <w:rPr>
          <w:rFonts w:ascii="Times New Roman" w:hAnsi="Times New Roman"/>
          <w:color w:val="22272F"/>
          <w:szCs w:val="28"/>
        </w:rPr>
        <w:t>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(бездействия)администрации сельского поселения «Кебанъёль» и должностных лиц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A454E9">
        <w:rPr>
          <w:rFonts w:ascii="Times New Roman" w:hAnsi="Times New Roman"/>
          <w:color w:val="22272F"/>
          <w:szCs w:val="28"/>
          <w:highlight w:val="white"/>
        </w:rPr>
        <w:t>(далее - Порядок, вопросы правоприменительной практики, орган местного самоуправления, судебные решения), устанавливает процедуру рассмотрения вопросов правоприменительной практики в целях выработки и принятия мер по предупреждению и устранению причин выявленных нарушений, а также регулирует вопросы формирования рабочей группы по рассмотрению вопросов правоприменительной практики (далее - рабочая группа), порядок проведения заседаний рабочей группы и оформления результатов таких заседаний.</w:t>
      </w:r>
    </w:p>
    <w:p w14:paraId="11000000" w14:textId="77777777" w:rsidR="0071078D" w:rsidRPr="00A454E9" w:rsidRDefault="00417688">
      <w:pPr>
        <w:spacing w:before="349" w:after="349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 Порядок формирования и работы рабочей группы</w:t>
      </w:r>
    </w:p>
    <w:p w14:paraId="12000000" w14:textId="77777777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2.1. Рассмотрение вопросов правоприменительной практики на заседании рабочей группы проводится не реже одного раза в квартал.</w:t>
      </w:r>
    </w:p>
    <w:p w14:paraId="13000000" w14:textId="77777777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При отсутствии судебных решений в соответствующем квартале, заседание рабочей группы не проводится.</w:t>
      </w:r>
    </w:p>
    <w:p w14:paraId="14000000" w14:textId="04EFA05B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2.2. Учет судебных решений, подлежащих рассмотрению на заседании рабочей группы, ведется </w:t>
      </w:r>
      <w:r w:rsidR="00525A9A" w:rsidRPr="00A454E9">
        <w:rPr>
          <w:rFonts w:ascii="Times New Roman" w:hAnsi="Times New Roman"/>
          <w:color w:val="22272F"/>
          <w:szCs w:val="28"/>
          <w:highlight w:val="white"/>
        </w:rPr>
        <w:t>специалистом администрации СП «Кебанъёль»</w:t>
      </w:r>
      <w:r w:rsidRPr="00A454E9">
        <w:rPr>
          <w:rFonts w:ascii="Times New Roman" w:hAnsi="Times New Roman"/>
          <w:color w:val="22272F"/>
          <w:szCs w:val="28"/>
          <w:highlight w:val="white"/>
        </w:rPr>
        <w:t>.</w:t>
      </w:r>
    </w:p>
    <w:p w14:paraId="15000000" w14:textId="77777777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2.3. Рабочая группа образуется в количестве не менее 5 человек.</w:t>
      </w:r>
    </w:p>
    <w:p w14:paraId="16000000" w14:textId="110E3192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В состав рабочей группы входят председатель, заместитель председателя, секретарь и члены рабочей группы. Состав рабочей группы утверждается постановлением администрации </w:t>
      </w:r>
      <w:r w:rsidR="00F138EE" w:rsidRPr="00A454E9">
        <w:rPr>
          <w:rFonts w:ascii="Times New Roman" w:hAnsi="Times New Roman"/>
          <w:color w:val="22272F"/>
          <w:szCs w:val="28"/>
          <w:highlight w:val="white"/>
        </w:rPr>
        <w:t>СП «Кебанъёль»</w:t>
      </w:r>
      <w:r w:rsidRPr="00A454E9">
        <w:rPr>
          <w:rFonts w:ascii="Times New Roman" w:hAnsi="Times New Roman"/>
          <w:color w:val="22272F"/>
          <w:szCs w:val="28"/>
          <w:highlight w:val="white"/>
        </w:rPr>
        <w:t>.</w:t>
      </w:r>
    </w:p>
    <w:p w14:paraId="17000000" w14:textId="77777777" w:rsidR="0071078D" w:rsidRPr="00A454E9" w:rsidRDefault="00417688" w:rsidP="00525A9A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2.4. Председатель рабочей группы возглавляет рабочую группу, осуществляет общее руководство, организует и контролирует деятельность рабочей группы, обеспечивает коллегиальность в обсуждении вопросов, распределяет обязанности между членами рабочей группы, определяет дату, время и место проведения заседаний рабочей группы.</w:t>
      </w:r>
    </w:p>
    <w:p w14:paraId="19000000" w14:textId="4BCCE322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lastRenderedPageBreak/>
        <w:t>В отсутствие председателя рабочей группы его обязанности исполняет заместитель председателя рабочей группы.</w:t>
      </w:r>
    </w:p>
    <w:p w14:paraId="1A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2.5. Секретарь рабочей группы обеспечивает организацию делопроизводства рабочей группы, в том числе:</w:t>
      </w:r>
    </w:p>
    <w:p w14:paraId="1B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1) оповещает членов рабочей группы и приглашаемых на заседание иных сотрудников о дате, месте и времени проведения заседания рабочей группы;</w:t>
      </w:r>
    </w:p>
    <w:p w14:paraId="1C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2) составляет протокол заседания рабочей группы;</w:t>
      </w:r>
    </w:p>
    <w:p w14:paraId="1D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3) обеспечивает хранение протоколов заседаний рабочей группы и иных документов, поступивших на рассмотрение рабочей группы;</w:t>
      </w:r>
    </w:p>
    <w:p w14:paraId="1E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4) обеспечивает учет судебных решений, подлежащих рассмотрению на заседании рабочей группы.</w:t>
      </w:r>
    </w:p>
    <w:p w14:paraId="1F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2.6. Заседания рабочей группы считаются правомочными, если на них присутствует более половины ее членов. Все члены рабочей группы при принятии решений обладают равными правами.</w:t>
      </w:r>
    </w:p>
    <w:p w14:paraId="20000000" w14:textId="3306DB55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2.7. На заседание рабочей группы приглашаются сотрудники отраслевых (функциональных) органов, муниципальных учреждений, участвовавших в разработке проекта акта, признанного судом недействительным, решения, совершении действий (бездействия) (далее - иные сотрудники) для дачи пояснений по рассматриваемым вопросам.</w:t>
      </w:r>
    </w:p>
    <w:p w14:paraId="21000000" w14:textId="0D9DD5AC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2.8. Информация о судебных решениях с приложением копий таких решений направляется специалистом администрации СП «Кебанъёль» председателю рабочей группы ежеквартально не позднее 5 числа месяца, следующего за отчетным кварталом, в случае, если в отчетном квартале выносились соответствующие решения.</w:t>
      </w:r>
    </w:p>
    <w:p w14:paraId="22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2.9. Информация должна содержать позицию относительно:</w:t>
      </w:r>
    </w:p>
    <w:p w14:paraId="23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1) оснований издания ненормативных правовых актов, принятия решений и совершения действий (бездействия) органа местного самоуправления и его должностных лиц, признанных судом недействительными (незаконными);</w:t>
      </w:r>
    </w:p>
    <w:p w14:paraId="24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2) оснований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</w:t>
      </w:r>
    </w:p>
    <w:p w14:paraId="25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3) участия в рассмотрении вопросов правоприменительной практики иных сотрудников.</w:t>
      </w:r>
    </w:p>
    <w:p w14:paraId="26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2.10. Одновременно с информацией о вынесенных судебных решениях 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</w:t>
      </w:r>
    </w:p>
    <w:p w14:paraId="27000000" w14:textId="53BA0EEB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2.11. Председатель рабочей группы на основании полученной от специалиста администрации СП «Кебанъёль» информации в срок до 10 числа месяца, следующего за отчетным кварталом, определяет дату, время и место проведения заседания рабочей группы, а также необходимость приглашения на заседание рабочей группы иных сотрудников.</w:t>
      </w:r>
    </w:p>
    <w:p w14:paraId="28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lastRenderedPageBreak/>
        <w:t>Секретарь рабочей группы в тот же срок оповещает членов рабочей группы и приглашаемых на заседание иных сотрудников о дате, месте и времени проведения заседания рабочей группы.</w:t>
      </w:r>
    </w:p>
    <w:p w14:paraId="29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2.12. Члены рабочей группы, принимавшие участие в издании ненормативного правового акта, совершившие действия (бездействие), признанные судом недействительными (незаконными), на заседание рабочей группы не приглашаются.</w:t>
      </w:r>
    </w:p>
    <w:p w14:paraId="2B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2.13. Заседание рабочей группы проводится в срок не позднее 15 числа месяца, следующего за отчетным кварталом.</w:t>
      </w:r>
    </w:p>
    <w:p w14:paraId="2C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2.14. Рабочая группа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должностных лиц:</w:t>
      </w:r>
    </w:p>
    <w:p w14:paraId="2D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1) анализирует судебные решения, в том числе основания признания недействительным ненормативного правового акта, незаконными решения и действий (бездействия) органа местного самоуправления и должностных лиц;</w:t>
      </w:r>
    </w:p>
    <w:p w14:paraId="2E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2) выясняет:</w:t>
      </w:r>
    </w:p>
    <w:p w14:paraId="2F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а) причины принятия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14:paraId="30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б) 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(бездействия), признанных судом недействительными (незаконными), признаков коррупционных проявлений, в том числе:</w:t>
      </w:r>
    </w:p>
    <w:p w14:paraId="31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- обстоятельств личной заинтересованности (ситуации конфликта интересов) лиц, участвовавших в разработке, а также согласовании проекта акта, признанного судом недействительным, решения и совершении действий (бездействия);</w:t>
      </w:r>
    </w:p>
    <w:p w14:paraId="32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- обстоятельств, свидетельствующих о несообщении такими лицами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</w:t>
      </w:r>
    </w:p>
    <w:p w14:paraId="33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3) вырабатывает рекомендации о мерах, направленных на предупреждение принятия ненормативных правовых актов, а также принятия решений и совершения действий (бездействия), не соответствующих законодательству, и коррупционных проявлений;</w:t>
      </w:r>
    </w:p>
    <w:p w14:paraId="34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14:paraId="35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2.15. По итогам рассмотрения вопросов правоприменительной практики, рабочая группа принимает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36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1) устанавливается, что в рассматриваемой ситуации содержатся (не содержатся) признаки коррупционных проявлений;</w:t>
      </w:r>
    </w:p>
    <w:p w14:paraId="37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lastRenderedPageBreak/>
        <w:t>2) 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38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2.16. Решение рабочей группы принимается открытым голосованием простым большинством голосов присутствующих на заседании. В случае равенства голосов решающим является голос председательствующего на заседании.</w:t>
      </w:r>
    </w:p>
    <w:p w14:paraId="39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2.17. Решения рабочей группы оформляются протоколом, который подписывается всеми участниками рабочей группы, присутствовавшими на заседании рабочей группы</w:t>
      </w:r>
    </w:p>
    <w:p w14:paraId="3A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2.18. В протоколе заседания рабочей группы указываются:</w:t>
      </w:r>
    </w:p>
    <w:p w14:paraId="3B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1) дата, время и место проведения заседания;</w:t>
      </w:r>
    </w:p>
    <w:p w14:paraId="3C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2) присутствующие на заседании члены рабочей группы и иные участники;</w:t>
      </w:r>
    </w:p>
    <w:p w14:paraId="3E000000" w14:textId="52020857" w:rsidR="0071078D" w:rsidRPr="00A454E9" w:rsidRDefault="001E37E0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="00417688" w:rsidRPr="00A454E9">
        <w:rPr>
          <w:rFonts w:ascii="Times New Roman" w:hAnsi="Times New Roman"/>
          <w:color w:val="22272F"/>
          <w:szCs w:val="28"/>
          <w:highlight w:val="white"/>
        </w:rPr>
        <w:t>3) фамилия, имя, отчество выступавших на заседании и основные тезисы выступлений, предложенные рекомендации;</w:t>
      </w:r>
    </w:p>
    <w:p w14:paraId="3F000000" w14:textId="54F95241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4) результаты голосования по каждому случаю;</w:t>
      </w:r>
    </w:p>
    <w:p w14:paraId="40000000" w14:textId="5138D4AC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5) принятое решение по каждому случаю.</w:t>
      </w:r>
    </w:p>
    <w:p w14:paraId="41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К протоколу заседания рабочей группы прилагаются копии судебных решений, признанного судом недействительным ненормативного правового акта, а также иные материалы, явившиеся предметом рассмотрения рабочей группы.</w:t>
      </w:r>
    </w:p>
    <w:p w14:paraId="42000000" w14:textId="77777777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2.19. Протокол заседания, а также признанный судом недействительным ненормативный правовой акт, судебное решение подлежат размещению на официальном сайте муниципального образования в разделе "Противодействие коррупции".</w:t>
      </w:r>
    </w:p>
    <w:p w14:paraId="43000000" w14:textId="5FA3C71B" w:rsidR="0071078D" w:rsidRPr="00A454E9" w:rsidRDefault="00417688" w:rsidP="00F138EE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454E9">
        <w:rPr>
          <w:rFonts w:ascii="Times New Roman" w:hAnsi="Times New Roman"/>
          <w:color w:val="22272F"/>
          <w:szCs w:val="28"/>
          <w:highlight w:val="white"/>
        </w:rPr>
        <w:t>2.20. В случае выявления рабочей группой коррупционной составляющей в решениях и совершенных действиях (бездействия) органа местного самоуправления и должностных лиц, председатель рабочей группы направляет главе сельского поселения «Кебанъёль» служебную записку для последующего рассмотрения вопроса на Комиссии по соблюдению требований к служебному поведению муниципальных служащих администрации сельского поселения «Кебанъёль» и урегулированию конфликта интересов для выработки дальнейших мер по профилактике и предотвращению коррупции.</w:t>
      </w:r>
    </w:p>
    <w:p w14:paraId="45000000" w14:textId="77777777" w:rsidR="0071078D" w:rsidRPr="00A454E9" w:rsidRDefault="0071078D">
      <w:pPr>
        <w:rPr>
          <w:rFonts w:ascii="Times New Roman" w:hAnsi="Times New Roman"/>
          <w:szCs w:val="28"/>
        </w:rPr>
      </w:pPr>
    </w:p>
    <w:p w14:paraId="76098845" w14:textId="77777777" w:rsidR="00A454E9" w:rsidRPr="00A454E9" w:rsidRDefault="00A454E9">
      <w:pPr>
        <w:rPr>
          <w:rFonts w:ascii="Times New Roman" w:hAnsi="Times New Roman"/>
          <w:szCs w:val="28"/>
        </w:rPr>
      </w:pPr>
    </w:p>
    <w:sectPr w:rsidR="00A454E9" w:rsidRPr="00A454E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8D"/>
    <w:rsid w:val="001E37E0"/>
    <w:rsid w:val="00417688"/>
    <w:rsid w:val="00436CF9"/>
    <w:rsid w:val="004B58A0"/>
    <w:rsid w:val="00525A9A"/>
    <w:rsid w:val="00564117"/>
    <w:rsid w:val="0071078D"/>
    <w:rsid w:val="00A12C48"/>
    <w:rsid w:val="00A454E9"/>
    <w:rsid w:val="00C513AC"/>
    <w:rsid w:val="00F138EE"/>
    <w:rsid w:val="00F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39C3"/>
  <w15:docId w15:val="{4FC8F4A2-E9E3-49BA-86A3-7EE2C13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styleId="a8">
    <w:name w:val="Intense Emphasis"/>
    <w:basedOn w:val="a0"/>
    <w:uiPriority w:val="21"/>
    <w:qFormat/>
    <w:rsid w:val="00525A9A"/>
    <w:rPr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1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79128695769</cp:lastModifiedBy>
  <cp:revision>8</cp:revision>
  <dcterms:created xsi:type="dcterms:W3CDTF">2023-12-28T07:36:00Z</dcterms:created>
  <dcterms:modified xsi:type="dcterms:W3CDTF">2024-03-18T08:25:00Z</dcterms:modified>
</cp:coreProperties>
</file>